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FA5" w:rsidRDefault="001A6FA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1A6FA5" w:rsidRDefault="00BA0CDD">
      <w:pPr>
        <w:ind w:left="62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Додаток 1</w:t>
      </w:r>
    </w:p>
    <w:p w:rsidR="001A6FA5" w:rsidRDefault="00BA0CDD">
      <w:pPr>
        <w:ind w:left="62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Технічного регламенту</w:t>
      </w:r>
    </w:p>
    <w:p w:rsidR="001A6FA5" w:rsidRDefault="00BA0CDD">
      <w:pPr>
        <w:ind w:left="62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енергетичного маркування</w:t>
      </w:r>
    </w:p>
    <w:p w:rsidR="001A6FA5" w:rsidRDefault="00BA0CDD">
      <w:pPr>
        <w:tabs>
          <w:tab w:val="left" w:pos="567"/>
        </w:tabs>
        <w:ind w:left="62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побутових посудомийних машин (пункт 3 розділу І)</w:t>
      </w:r>
    </w:p>
    <w:p w:rsidR="001A6FA5" w:rsidRDefault="001A6FA5">
      <w:pPr>
        <w:ind w:left="5669"/>
        <w:jc w:val="right"/>
        <w:rPr>
          <w:rFonts w:ascii="Times New Roman" w:hAnsi="Times New Roman"/>
          <w:sz w:val="28"/>
          <w:szCs w:val="28"/>
        </w:rPr>
      </w:pPr>
    </w:p>
    <w:p w:rsidR="001A6FA5" w:rsidRDefault="001A6FA5">
      <w:pPr>
        <w:jc w:val="right"/>
        <w:rPr>
          <w:rFonts w:ascii="Times New Roman" w:hAnsi="Times New Roman"/>
          <w:sz w:val="28"/>
          <w:szCs w:val="28"/>
        </w:rPr>
      </w:pPr>
    </w:p>
    <w:p w:rsidR="001A6FA5" w:rsidRDefault="00BA0CDD" w:rsidP="008D6F52">
      <w:pPr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ТЕРМІНИ,</w:t>
      </w:r>
    </w:p>
    <w:p w:rsidR="001A6FA5" w:rsidRDefault="00BA0CDD" w:rsidP="008D6F52">
      <w:pPr>
        <w:tabs>
          <w:tab w:val="left" w:pos="567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що застосовуються в додатках до Технічного регламенту </w:t>
      </w:r>
      <w:r>
        <w:rPr>
          <w:rFonts w:ascii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енергетичного маркування побутових посудомийних машин</w:t>
      </w:r>
    </w:p>
    <w:p w:rsidR="001A6FA5" w:rsidRDefault="001A6FA5">
      <w:pPr>
        <w:ind w:firstLine="570"/>
        <w:jc w:val="center"/>
        <w:rPr>
          <w:rFonts w:ascii="Times New Roman" w:hAnsi="Times New Roman"/>
          <w:sz w:val="28"/>
          <w:szCs w:val="28"/>
        </w:rPr>
      </w:pPr>
    </w:p>
    <w:p w:rsidR="001A6FA5" w:rsidRDefault="00BA0CD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0"/>
        </w:tabs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додатках 2 — 9 цього Технічного регламенту терміни вживаються у таких значеннях: </w:t>
      </w:r>
    </w:p>
    <w:p w:rsidR="001A6FA5" w:rsidRDefault="00BA0CDD">
      <w:pPr>
        <w:tabs>
          <w:tab w:val="left" w:pos="-142"/>
          <w:tab w:val="left" w:pos="0"/>
        </w:tabs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альтернативний текст — текст, наданий як альтернатива зображенню, що дозволяє подавати інформацію в не графічній формі, якщо пристрої відображення не можуть відобразити зображення, або як засіб доступності, наприклад, введення до програм синтезу голосу;</w:t>
      </w:r>
    </w:p>
    <w:p w:rsidR="001A6FA5" w:rsidRDefault="00BA0CDD">
      <w:pPr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відкладений старт — умова, коли споживач вибрав певну затримку до початку циклу обраної програми;</w:t>
      </w:r>
    </w:p>
    <w:p w:rsidR="001A6FA5" w:rsidRDefault="00BA0CD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0"/>
        </w:tabs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вкладений дисплей — будь-який візуальний інтерфейс, де доступ до зображення або набору даних здійснюється клацанням миші, наведенням миші або тактильним розширенням екрана іншого зображення або набору даних;</w:t>
      </w:r>
    </w:p>
    <w:p w:rsidR="001A6FA5" w:rsidRDefault="00BA0CDD">
      <w:pPr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гарантія — будь-яке зобов’язання роздрібного розповсюджувача або постачальника перед споживачем:</w:t>
      </w:r>
    </w:p>
    <w:p w:rsidR="001A6FA5" w:rsidRDefault="00BA0CDD">
      <w:pPr>
        <w:ind w:left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відшкодувати сплачену ціну, або</w:t>
      </w:r>
    </w:p>
    <w:p w:rsidR="001A6FA5" w:rsidRDefault="00BA0CDD">
      <w:pPr>
        <w:ind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замінювати, ремонтувати або будь-яким чином обробляти побутові посудомийні машини, якщо вони не відповідають специфікаціям, викладеним у у гарантійній заяві або відповідній рекламі;</w:t>
      </w:r>
    </w:p>
    <w:p w:rsidR="001A6FA5" w:rsidRDefault="00BA0CDD">
      <w:pPr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еко — назва програми побутової посудомийної машини, заявленої постачальником як придатна для миття звичайно забрудненого столового посуду, і до якої відноситься інформація на етикетці енергоспоживання та в інформаційному листку;</w:t>
      </w:r>
    </w:p>
    <w:p w:rsidR="001A6FA5" w:rsidRDefault="00BA0CDD">
      <w:pPr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енергоспоживання за стандартною програмою (SPEC) — споживання енергії, взяте як еталонне значення, як функція номінальної потужності побутової посудомийної машини, виражене в кіловат-годинах на цикл;</w:t>
      </w:r>
    </w:p>
    <w:p w:rsidR="001A6FA5" w:rsidRDefault="00BA0CD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0"/>
        </w:tabs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задекларовані значення — значення, надані постачальником для заявлених, розрахованих або виміряних технічних параметрів відповідно до пункту 3 розділу ІІІ Технічного регламенту енергетичного маркування енегоспоживчої продукції, затвердженого наказом Міністерства енергетики України від 27 квітня 2022 року № 164, зареєстрованого</w:t>
      </w:r>
      <w:r w:rsidR="00A0037F">
        <w:rPr>
          <w:rFonts w:ascii="Times New Roman" w:hAnsi="Times New Roman"/>
          <w:sz w:val="28"/>
          <w:szCs w:val="28"/>
        </w:rPr>
        <w:t xml:space="preserve"> у Міністерстві юстиції України</w:t>
      </w:r>
      <w:r w:rsidR="00A0037F" w:rsidRPr="00A003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09 червня 2022 року за № 615/37951, абзацу п'ятого пункту 1 </w:t>
      </w:r>
      <w:r w:rsidR="00A0037F" w:rsidRPr="00A0037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розділу ІІІ </w:t>
      </w:r>
      <w:r w:rsidR="00A0037F">
        <w:rPr>
          <w:rFonts w:ascii="Times New Roman" w:hAnsi="Times New Roman"/>
          <w:sz w:val="28"/>
          <w:szCs w:val="28"/>
        </w:rPr>
        <w:t>цього Технічного регламенту</w:t>
      </w:r>
      <w:r w:rsidR="00A003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додатка </w:t>
      </w:r>
      <w:r w:rsidR="00A0037F" w:rsidRPr="00A0037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до цього Технічного регламенту;</w:t>
      </w:r>
    </w:p>
    <w:p w:rsidR="001A6FA5" w:rsidRDefault="00BA0CD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0"/>
        </w:tabs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індекс енергоефективності (IEE) — відношення енергоспоживання програми «еко» до енергоспоживання стандартної програми;</w:t>
      </w:r>
    </w:p>
    <w:p w:rsidR="001A6FA5" w:rsidRDefault="00BA0CDD">
      <w:pPr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індекс енергоефективності очищення (I</w:t>
      </w:r>
      <w:r>
        <w:rPr>
          <w:rFonts w:ascii="Times New Roman" w:hAnsi="Times New Roman"/>
          <w:sz w:val="28"/>
          <w:szCs w:val="28"/>
          <w:vertAlign w:val="subscript"/>
        </w:rPr>
        <w:t>C</w:t>
      </w:r>
      <w:r>
        <w:rPr>
          <w:rFonts w:ascii="Times New Roman" w:hAnsi="Times New Roman"/>
          <w:sz w:val="28"/>
          <w:szCs w:val="28"/>
        </w:rPr>
        <w:t>) — відношення ефективності очищення побутової посудомийної машини до ефективності очищення еталонної побутової посудомийної машини;</w:t>
      </w:r>
    </w:p>
    <w:p w:rsidR="001A6FA5" w:rsidRDefault="00BA0CDD">
      <w:pPr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індекс продуктивності сушіння (I</w:t>
      </w:r>
      <w:r>
        <w:rPr>
          <w:rFonts w:ascii="Times New Roman" w:hAnsi="Times New Roman"/>
          <w:sz w:val="28"/>
          <w:szCs w:val="28"/>
          <w:vertAlign w:val="subscript"/>
        </w:rPr>
        <w:t>D</w:t>
      </w:r>
      <w:r>
        <w:rPr>
          <w:rFonts w:ascii="Times New Roman" w:hAnsi="Times New Roman"/>
          <w:sz w:val="28"/>
          <w:szCs w:val="28"/>
        </w:rPr>
        <w:t>) — відношення продуктивності сушіння побутової посудомийної машини до продуктивності сушіння еталонної побутової посудомийної машини;</w:t>
      </w:r>
    </w:p>
    <w:p w:rsidR="001A6FA5" w:rsidRDefault="00BA0CDD">
      <w:pPr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код швидкої відповіді (QR) — матричний штрих-код, вказаний на енергетичній етикетці моделі продукції, який містить посилання на інформацію про цю модель у загальнодоступній частині бази даних продукції;</w:t>
      </w:r>
    </w:p>
    <w:p w:rsidR="001A6FA5" w:rsidRDefault="00BA0CDD">
      <w:pPr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мережа — </w:t>
      </w:r>
      <w:r>
        <w:rPr>
          <w:rFonts w:ascii="Times New Roman" w:hAnsi="Times New Roman"/>
          <w:sz w:val="28"/>
          <w:szCs w:val="28"/>
          <w:highlight w:val="white"/>
        </w:rPr>
        <w:t xml:space="preserve">інфраструктура зв'язку з топологією зв'язків, архітектурою, включаючи фізичні компоненти, організаційні принципи, процедури та </w:t>
      </w:r>
      <w:r>
        <w:rPr>
          <w:rFonts w:ascii="Times New Roman" w:hAnsi="Times New Roman"/>
          <w:sz w:val="28"/>
          <w:szCs w:val="28"/>
        </w:rPr>
        <w:t>формати зв'язку (протоколи);</w:t>
      </w:r>
    </w:p>
    <w:p w:rsidR="001A6FA5" w:rsidRDefault="00BA0CDD">
      <w:pPr>
        <w:ind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механізм відображення — будь-який екран, включаючи тактильний екран, або інша візуальну технологія, яка використовується для відображення Інтернет-контенту споживачам;</w:t>
      </w:r>
    </w:p>
    <w:p w:rsidR="001A6FA5" w:rsidRDefault="00BA0CDD">
      <w:pPr>
        <w:tabs>
          <w:tab w:val="left" w:pos="-142"/>
          <w:tab w:val="left" w:pos="0"/>
        </w:tabs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номінальна місткість — максимальна кількість сервіровок разом із предметами для сервірування, які можна очистити, промити та висушити в побутовій посудомийній машині за один цикл </w:t>
      </w:r>
      <w:r w:rsidR="00A0037F" w:rsidRPr="00A0037F">
        <w:rPr>
          <w:rFonts w:ascii="Times New Roman" w:hAnsi="Times New Roman"/>
          <w:sz w:val="28"/>
          <w:szCs w:val="28"/>
        </w:rPr>
        <w:t>п</w:t>
      </w:r>
      <w:r w:rsidR="00A0037F">
        <w:rPr>
          <w:rFonts w:ascii="Times New Roman" w:hAnsi="Times New Roman"/>
          <w:sz w:val="28"/>
          <w:szCs w:val="28"/>
        </w:rPr>
        <w:t>і</w:t>
      </w:r>
      <w:r w:rsidR="00A0037F" w:rsidRPr="00A0037F">
        <w:rPr>
          <w:rFonts w:ascii="Times New Roman" w:hAnsi="Times New Roman"/>
          <w:sz w:val="28"/>
          <w:szCs w:val="28"/>
        </w:rPr>
        <w:t>д час</w:t>
      </w:r>
      <w:r>
        <w:rPr>
          <w:rFonts w:ascii="Times New Roman" w:hAnsi="Times New Roman"/>
          <w:sz w:val="28"/>
          <w:szCs w:val="28"/>
        </w:rPr>
        <w:t xml:space="preserve"> завантаженн</w:t>
      </w:r>
      <w:r w:rsidR="00A0037F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відповідно до інструкцій постачальника; </w:t>
      </w:r>
    </w:p>
    <w:p w:rsidR="001A6FA5" w:rsidRDefault="00BA0CDD">
      <w:pPr>
        <w:tabs>
          <w:tab w:val="left" w:pos="-142"/>
          <w:tab w:val="left" w:pos="0"/>
        </w:tabs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програма — серія операцій, які заздалегідь визначені та заявлені постачальником як придатні для визначених рівнів забруднення або типів навантаження, або того й іншого;</w:t>
      </w:r>
    </w:p>
    <w:p w:rsidR="001A6FA5" w:rsidRDefault="00BA0CDD">
      <w:pPr>
        <w:tabs>
          <w:tab w:val="left" w:pos="-142"/>
          <w:tab w:val="left" w:pos="0"/>
        </w:tabs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 вимкнення — стан, за якого побутова посудомийна машина підключена до електромережі та не виконує жодних функцій</w:t>
      </w:r>
      <w:r w:rsidR="00A0037F"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z w:val="28"/>
          <w:szCs w:val="28"/>
        </w:rPr>
        <w:t>имкненим режимом</w:t>
      </w:r>
      <w:r w:rsidR="00A0037F" w:rsidRPr="00A0037F">
        <w:rPr>
          <w:rFonts w:ascii="Times New Roman" w:hAnsi="Times New Roman"/>
          <w:sz w:val="28"/>
          <w:szCs w:val="28"/>
        </w:rPr>
        <w:t xml:space="preserve"> </w:t>
      </w:r>
      <w:r w:rsidR="00A0037F">
        <w:rPr>
          <w:rFonts w:ascii="Times New Roman" w:hAnsi="Times New Roman"/>
          <w:sz w:val="28"/>
          <w:szCs w:val="28"/>
        </w:rPr>
        <w:t>вважається</w:t>
      </w:r>
      <w:r>
        <w:rPr>
          <w:rFonts w:ascii="Times New Roman" w:hAnsi="Times New Roman"/>
          <w:sz w:val="28"/>
          <w:szCs w:val="28"/>
        </w:rPr>
        <w:t>:</w:t>
      </w:r>
    </w:p>
    <w:p w:rsidR="001A6FA5" w:rsidRDefault="00BA0CDD">
      <w:pPr>
        <w:tabs>
          <w:tab w:val="left" w:pos="-142"/>
          <w:tab w:val="left" w:pos="0"/>
        </w:tabs>
        <w:ind w:left="566" w:right="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умови, що забезпечують лише індикацію вимкненого режиму;</w:t>
      </w:r>
    </w:p>
    <w:p w:rsidR="001A6FA5" w:rsidRDefault="00BA0CDD">
      <w:pPr>
        <w:tabs>
          <w:tab w:val="left" w:pos="-142"/>
          <w:tab w:val="left" w:pos="549"/>
        </w:tabs>
        <w:ind w:right="23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умови, що забезпечують лише функції, призначені для забезпечення електромагнітної сумісності;</w:t>
      </w:r>
    </w:p>
    <w:p w:rsidR="001A6FA5" w:rsidRDefault="00BA0CDD" w:rsidP="00A0037F">
      <w:pPr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 очікування — стан, коли побутова посудомийна машина підключена</w:t>
      </w:r>
      <w:r w:rsidR="00A0037F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до електромережі та забезпечує лише такі функції, які можуть зберігатися протягом невизначеного часу:</w:t>
      </w:r>
    </w:p>
    <w:p w:rsidR="001A6FA5" w:rsidRDefault="00BA0CDD">
      <w:pPr>
        <w:tabs>
          <w:tab w:val="left" w:pos="-142"/>
          <w:tab w:val="left" w:pos="0"/>
        </w:tabs>
        <w:ind w:right="23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функція повторної активації або функція повторної активації та просто вказівка на ввімкнену функцію повторної активації;</w:t>
      </w:r>
    </w:p>
    <w:p w:rsidR="001A6FA5" w:rsidRDefault="00BA0CDD">
      <w:pPr>
        <w:tabs>
          <w:tab w:val="left" w:pos="-142"/>
          <w:tab w:val="left" w:pos="0"/>
        </w:tabs>
        <w:ind w:left="566" w:right="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функція повторної активації через відключення до мережі; </w:t>
      </w:r>
    </w:p>
    <w:p w:rsidR="001A6FA5" w:rsidRDefault="00BA0CDD">
      <w:pPr>
        <w:tabs>
          <w:tab w:val="left" w:pos="-142"/>
          <w:tab w:val="left" w:pos="0"/>
        </w:tabs>
        <w:ind w:left="566" w:right="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відображення інформації чи стану;</w:t>
      </w:r>
    </w:p>
    <w:p w:rsidR="001A6FA5" w:rsidRDefault="00BA0CDD">
      <w:pPr>
        <w:tabs>
          <w:tab w:val="left" w:pos="-142"/>
          <w:tab w:val="left" w:pos="0"/>
        </w:tabs>
        <w:ind w:left="566" w:right="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функція виявлення для екстрених заходів;</w:t>
      </w:r>
    </w:p>
    <w:p w:rsidR="001A6FA5" w:rsidRDefault="00BA0CDD">
      <w:pPr>
        <w:tabs>
          <w:tab w:val="left" w:pos="-142"/>
          <w:tab w:val="left" w:pos="0"/>
        </w:tabs>
        <w:ind w:right="23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сервіровка (ps) —  набір столового посуду, призначений для однієї особи, не включаючи предмети сервірування;</w:t>
      </w:r>
    </w:p>
    <w:p w:rsidR="001A6FA5" w:rsidRDefault="00BA0CDD">
      <w:pPr>
        <w:tabs>
          <w:tab w:val="left" w:pos="-142"/>
          <w:tab w:val="left" w:pos="0"/>
        </w:tabs>
        <w:ind w:right="23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предмети для сервірування — предмети для приготування та подачі їжі, які можуть включати каструлі, сервірувальні миски, сервірувальні столові прилади та тарілки;</w:t>
      </w:r>
    </w:p>
    <w:p w:rsidR="001A6FA5" w:rsidRDefault="00BA0CDD">
      <w:pPr>
        <w:tabs>
          <w:tab w:val="left" w:pos="-142"/>
          <w:tab w:val="left" w:pos="0"/>
        </w:tabs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споживання води в програмі «еко» (EPWC) — споживання води побутовою посудомийною машиною для програми «еко», виражене в літрах на цикл;</w:t>
      </w:r>
    </w:p>
    <w:p w:rsidR="001A6FA5" w:rsidRDefault="00BA0CD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0"/>
        </w:tabs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споживання енергії в програмі «еко» (EPEC) — енергоспоживання побутової посудомийної машини для програми «еко», виражене в кіловат-годинах на цикл;</w:t>
      </w:r>
    </w:p>
    <w:p w:rsidR="001A6FA5" w:rsidRDefault="00BA0CDD">
      <w:pPr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тактильний екран — екран, що реагує на дотик, наприклад, екран планшетного комп’ютера, планшетного комп’ютера чи смартфона;</w:t>
      </w:r>
    </w:p>
    <w:p w:rsidR="001A6FA5" w:rsidRDefault="00BA0CDD">
      <w:pPr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тривалість програми (T</w:t>
      </w:r>
      <w:r>
        <w:rPr>
          <w:rFonts w:ascii="Times New Roman" w:hAnsi="Times New Roman"/>
          <w:sz w:val="28"/>
          <w:szCs w:val="28"/>
          <w:vertAlign w:val="subscript"/>
        </w:rPr>
        <w:t>t</w:t>
      </w:r>
      <w:r>
        <w:rPr>
          <w:rFonts w:ascii="Times New Roman" w:hAnsi="Times New Roman"/>
          <w:sz w:val="28"/>
          <w:szCs w:val="28"/>
        </w:rPr>
        <w:t>) — тривалість часу, починаючи з початку обраної програми, за винятком будь-якої запрограмованої споживачем затримки, доки не буде вказано кінець програми та споживач матиме доступ до завантаженого вмісту;</w:t>
      </w:r>
    </w:p>
    <w:p w:rsidR="001A6FA5" w:rsidRDefault="00BA0CDD">
      <w:pPr>
        <w:pBdr>
          <w:top w:val="nil"/>
          <w:left w:val="nil"/>
          <w:bottom w:val="nil"/>
          <w:right w:val="nil"/>
          <w:between w:val="nil"/>
        </w:pBdr>
        <w:ind w:right="23" w:firstLine="5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цикл — повний процес очищення, промивання, промивання та сушіння, як визначено вибраною програмою, що складається із серії операцій до припинення будь-якої діяльності.</w:t>
      </w:r>
    </w:p>
    <w:p w:rsidR="001A6FA5" w:rsidRDefault="001A6FA5">
      <w:pPr>
        <w:pBdr>
          <w:top w:val="nil"/>
          <w:left w:val="nil"/>
          <w:bottom w:val="nil"/>
          <w:right w:val="nil"/>
          <w:between w:val="nil"/>
        </w:pBdr>
        <w:ind w:firstLine="570"/>
        <w:jc w:val="both"/>
        <w:rPr>
          <w:rFonts w:ascii="Times New Roman" w:hAnsi="Times New Roman"/>
          <w:sz w:val="28"/>
          <w:szCs w:val="28"/>
        </w:rPr>
      </w:pPr>
    </w:p>
    <w:p w:rsidR="001A6FA5" w:rsidRDefault="001A6FA5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0"/>
        </w:tabs>
        <w:ind w:right="23" w:firstLine="570"/>
        <w:jc w:val="both"/>
        <w:rPr>
          <w:rFonts w:ascii="Times New Roman" w:hAnsi="Times New Roman"/>
          <w:sz w:val="28"/>
          <w:szCs w:val="28"/>
        </w:rPr>
      </w:pPr>
    </w:p>
    <w:p w:rsidR="001A6FA5" w:rsidRDefault="001A6FA5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  <w:tab w:val="left" w:pos="0"/>
        </w:tabs>
        <w:ind w:right="23" w:firstLine="570"/>
        <w:jc w:val="both"/>
        <w:rPr>
          <w:rFonts w:ascii="Times New Roman" w:hAnsi="Times New Roman"/>
          <w:sz w:val="28"/>
          <w:szCs w:val="28"/>
        </w:rPr>
      </w:pPr>
    </w:p>
    <w:p w:rsidR="000A5B59" w:rsidRDefault="000A5B59" w:rsidP="000A5B59">
      <w:pPr>
        <w:tabs>
          <w:tab w:val="left" w:pos="284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</w:t>
      </w:r>
    </w:p>
    <w:p w:rsidR="001A6FA5" w:rsidRDefault="001A6FA5">
      <w:pPr>
        <w:tabs>
          <w:tab w:val="left" w:pos="284"/>
        </w:tabs>
        <w:ind w:firstLine="566"/>
        <w:jc w:val="center"/>
        <w:rPr>
          <w:rFonts w:ascii="Times New Roman" w:hAnsi="Times New Roman"/>
          <w:sz w:val="28"/>
          <w:szCs w:val="28"/>
        </w:rPr>
      </w:pPr>
    </w:p>
    <w:sectPr w:rsidR="001A6FA5">
      <w:headerReference w:type="default" r:id="rId8"/>
      <w:pgSz w:w="11906" w:h="16838"/>
      <w:pgMar w:top="709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424" w:rsidRDefault="00CD0424">
      <w:r>
        <w:separator/>
      </w:r>
    </w:p>
  </w:endnote>
  <w:endnote w:type="continuationSeparator" w:id="0">
    <w:p w:rsidR="00CD0424" w:rsidRDefault="00CD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tiqua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424" w:rsidRDefault="00CD0424">
      <w:r>
        <w:separator/>
      </w:r>
    </w:p>
  </w:footnote>
  <w:footnote w:type="continuationSeparator" w:id="0">
    <w:p w:rsidR="00CD0424" w:rsidRDefault="00CD0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FA5" w:rsidRDefault="00BA0CDD">
    <w:pPr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A0037F">
      <w:rPr>
        <w:rFonts w:ascii="Times New Roman" w:hAnsi="Times New Roman"/>
        <w:noProof/>
        <w:sz w:val="28"/>
        <w:szCs w:val="28"/>
      </w:rPr>
      <w:t>3</w:t>
    </w:r>
    <w:r>
      <w:rPr>
        <w:rFonts w:ascii="Times New Roman" w:hAnsi="Times New Roman"/>
        <w:sz w:val="28"/>
        <w:szCs w:val="28"/>
      </w:rPr>
      <w:fldChar w:fldCharType="end"/>
    </w:r>
  </w:p>
  <w:p w:rsidR="001A6FA5" w:rsidRDefault="00BA0CD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rFonts w:ascii="Times New Roman" w:hAnsi="Times New Roman"/>
        <w:color w:val="000000"/>
        <w:sz w:val="28"/>
        <w:szCs w:val="28"/>
      </w:rPr>
    </w:pPr>
    <w:r>
      <w:rPr>
        <w:rFonts w:ascii="Times New Roman" w:hAnsi="Times New Roman"/>
        <w:color w:val="000000"/>
        <w:sz w:val="28"/>
        <w:szCs w:val="28"/>
      </w:rPr>
      <w:t>Продовження додатка 1</w:t>
    </w:r>
  </w:p>
  <w:p w:rsidR="001A6FA5" w:rsidRDefault="001A6FA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eastAsia="Antiqua" w:cs="Antiqua"/>
        <w:color w:val="000000"/>
        <w:szCs w:val="2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A6FA5"/>
    <w:rsid w:val="000A5B59"/>
    <w:rsid w:val="001A6FA5"/>
    <w:rsid w:val="008D6F52"/>
    <w:rsid w:val="00A0037F"/>
    <w:rsid w:val="00AF6878"/>
    <w:rsid w:val="00BA0CDD"/>
    <w:rsid w:val="00CD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tiqua" w:eastAsia="Antiqua" w:hAnsi="Antiqua" w:cs="Antiqua"/>
        <w:sz w:val="26"/>
        <w:szCs w:val="2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Cs w:val="20"/>
      <w:lang w:val="uk-U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4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"/>
    <w:next w:val="a"/>
    <w:link w:val="30"/>
    <w:qFormat/>
    <w:pPr>
      <w:keepNext/>
      <w:spacing w:before="120"/>
      <w:ind w:left="567"/>
      <w:outlineLvl w:val="2"/>
    </w:pPr>
    <w:rPr>
      <w:b/>
      <w:i/>
      <w:lang w:val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30">
    <w:name w:val="Заголовок 3 Знак"/>
    <w:basedOn w:val="a0"/>
    <w:link w:val="3"/>
    <w:rPr>
      <w:rFonts w:ascii="Antiqua" w:eastAsia="Times New Roman" w:hAnsi="Antiqua" w:cs="Times New Roman"/>
      <w:b/>
      <w:i/>
      <w:sz w:val="26"/>
      <w:szCs w:val="20"/>
      <w:lang w:val="x-none" w:eastAsia="ru-RU"/>
    </w:r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pPr>
      <w:keepNext/>
      <w:keepLines/>
      <w:spacing w:after="240"/>
      <w:ind w:left="3969"/>
      <w:jc w:val="center"/>
    </w:p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val="uk-UA" w:eastAsia="ru-RU"/>
    </w:rPr>
  </w:style>
  <w:style w:type="character" w:styleId="a8">
    <w:name w:val="Placeholder Text"/>
    <w:basedOn w:val="a0"/>
    <w:uiPriority w:val="99"/>
    <w:semiHidden/>
    <w:rPr>
      <w:color w:val="808080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styleId="aa">
    <w:name w:val="head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14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e">
    <w:name w:val="Normal (Web)"/>
    <w:basedOn w:val="a"/>
    <w:uiPriority w:val="99"/>
    <w:semiHidden/>
    <w:unhideWhenUsed/>
    <w:rsid w:val="00DE32E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customStyle="1" w:styleId="apple-tab-span">
    <w:name w:val="apple-tab-span"/>
    <w:basedOn w:val="a0"/>
    <w:rsid w:val="00DE32E5"/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tiqua" w:eastAsia="Antiqua" w:hAnsi="Antiqua" w:cs="Antiqua"/>
        <w:sz w:val="26"/>
        <w:szCs w:val="2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szCs w:val="20"/>
      <w:lang w:val="uk-U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4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"/>
    <w:next w:val="a"/>
    <w:link w:val="30"/>
    <w:qFormat/>
    <w:pPr>
      <w:keepNext/>
      <w:spacing w:before="120"/>
      <w:ind w:left="567"/>
      <w:outlineLvl w:val="2"/>
    </w:pPr>
    <w:rPr>
      <w:b/>
      <w:i/>
      <w:lang w:val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30">
    <w:name w:val="Заголовок 3 Знак"/>
    <w:basedOn w:val="a0"/>
    <w:link w:val="3"/>
    <w:rPr>
      <w:rFonts w:ascii="Antiqua" w:eastAsia="Times New Roman" w:hAnsi="Antiqua" w:cs="Times New Roman"/>
      <w:b/>
      <w:i/>
      <w:sz w:val="26"/>
      <w:szCs w:val="20"/>
      <w:lang w:val="x-none" w:eastAsia="ru-RU"/>
    </w:r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pPr>
      <w:keepNext/>
      <w:keepLines/>
      <w:spacing w:after="240"/>
      <w:ind w:left="3969"/>
      <w:jc w:val="center"/>
    </w:p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val="uk-UA" w:eastAsia="ru-RU"/>
    </w:rPr>
  </w:style>
  <w:style w:type="character" w:styleId="a8">
    <w:name w:val="Placeholder Text"/>
    <w:basedOn w:val="a0"/>
    <w:uiPriority w:val="99"/>
    <w:semiHidden/>
    <w:rPr>
      <w:color w:val="808080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styleId="aa">
    <w:name w:val="header"/>
    <w:basedOn w:val="a"/>
    <w:link w:val="ab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Antiqua" w:eastAsia="Times New Roman" w:hAnsi="Antiqua" w:cs="Times New Roman"/>
      <w:sz w:val="2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14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e">
    <w:name w:val="Normal (Web)"/>
    <w:basedOn w:val="a"/>
    <w:uiPriority w:val="99"/>
    <w:semiHidden/>
    <w:unhideWhenUsed/>
    <w:rsid w:val="00DE32E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customStyle="1" w:styleId="apple-tab-span">
    <w:name w:val="apple-tab-span"/>
    <w:basedOn w:val="a0"/>
    <w:rsid w:val="00DE32E5"/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3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mvdfdv017gOZ17xRKBwPDEA1Gg==">AMUW2mVQdfjF6R8zCXzZleqLgwIV0wKLkPQ+GlEkBzzBcaHq8NCPqT4q6bVl1JuoK3DwRV4uOygfbMgqYagnaS4lW67MfkR7h2jBsNG7gZbWJaSkspzC5Y8=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799</Words>
  <Characters>4557</Characters>
  <Application>Microsoft Office Word</Application>
  <DocSecurity>0</DocSecurity>
  <Lines>37</Lines>
  <Paragraphs>10</Paragraphs>
  <ScaleCrop>false</ScaleCrop>
  <Company/>
  <LinksUpToDate>false</LinksUpToDate>
  <CharactersWithSpaces>5346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PC101460060</cp:lastModifiedBy>
  <cp:revision>7</cp:revision>
  <dcterms:created xsi:type="dcterms:W3CDTF">2020-04-30T07:15:00Z</dcterms:created>
  <dcterms:modified xsi:type="dcterms:W3CDTF">2023-03-30T06:04:00Z</dcterms:modified>
</cp:coreProperties>
</file>